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59B3" w14:textId="0196370B" w:rsidR="00583A3B" w:rsidRPr="00583A3B" w:rsidRDefault="00583A3B" w:rsidP="00583A3B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</w:pPr>
      <w:r w:rsidRPr="00583A3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Argus des Métaux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, e</w:t>
      </w:r>
      <w:r w:rsidRPr="00583A3B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</w:rPr>
        <w:t>n retrait sur la séance ; en hausse sur la semaine</w:t>
      </w:r>
    </w:p>
    <w:p w14:paraId="1AD58083" w14:textId="77777777" w:rsidR="00583A3B" w:rsidRDefault="00583A3B" w:rsidP="00583A3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</w:pPr>
    </w:p>
    <w:p w14:paraId="1A3465DF" w14:textId="5AAF86DC" w:rsidR="00583A3B" w:rsidRPr="00583A3B" w:rsidRDefault="00583A3B" w:rsidP="00583A3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Le 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cuivre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fléchissait en ce début d’après-midi, après l’envolée de ces dernières heures réalisée à la perspective que l’inflation pourrait avoir atteint son pic aux Etats-Unis. Le métal rouge devrait tout de même sceller la semaine sur une progression de l’ordre de 3,5%. La bonne humeur du marché tient également à la publication ce jour des chiffres de la production industrielle européenne qui a montré en juillet une progression trois fois plus importante que prévu : elle est ressortie en hausse de 0,7%, contre 0,2% attendu.  Plus largement, les marchés financiers connaissent également une embellie ; ils vont inscrire leur quatrième semaine de hausse consécutive. Sur la séance, le 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cuivre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montre actuellement un recul de 0,4% à 8.144 $/t. « </w:t>
      </w:r>
      <w:r w:rsidRPr="00583A3B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Le rebond, significatif, s’est fait au travers d’opérations de couvertures de positions courtes et d’un regain d’appétit pour les actifs risqués 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», constate Robin </w:t>
      </w:r>
      <w:proofErr w:type="spellStart"/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Bhar</w:t>
      </w:r>
      <w:proofErr w:type="spellEnd"/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analyste indépendant. « </w:t>
      </w:r>
      <w:r w:rsidRPr="00583A3B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La crainte de récession demeure mais elle a été absorbée par le marché 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», poursuit-il.</w:t>
      </w:r>
    </w:p>
    <w:p w14:paraId="6734EECE" w14:textId="77777777" w:rsidR="00583A3B" w:rsidRPr="00583A3B" w:rsidRDefault="00583A3B" w:rsidP="00583A3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Les progressions hebdomadaires pour les autres métaux s’inscrivent entre 2,5% et 7%. Sur l’ensemble de la matinée, les autres métaux inscrivent des pertes qui s’échelonnent de 0,4% pour le 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plomb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à 2.189 $/t, à 1,6% pour le 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zinc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à 3.629 $/t. Seul le 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nickel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parvient à garder la tête hors de l’eau : il progresse de 0,5% à 23.780 $/t.</w:t>
      </w:r>
    </w:p>
    <w:p w14:paraId="74BA4A05" w14:textId="77777777" w:rsidR="00583A3B" w:rsidRPr="00583A3B" w:rsidRDefault="00583A3B" w:rsidP="00583A3B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</w:pP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La tendance est identique pour l’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BE"/>
        </w:rPr>
        <w:t>or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qui, sur la séance, enregistre pour l’heure une contraction de -0,2% (à 1.786 $/once) alors qu’il devrait conclure la semaine sur sa 4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vertAlign w:val="superscript"/>
          <w:lang w:eastAsia="fr-BE"/>
        </w:rPr>
        <w:t>ème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 hausse hebdomadaire. « </w:t>
      </w:r>
      <w:r w:rsidRPr="00583A3B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BE"/>
        </w:rPr>
        <w:t>L’or est délaissé au profit des actifs risqués </w:t>
      </w:r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 xml:space="preserve">», explique Craig </w:t>
      </w:r>
      <w:proofErr w:type="spellStart"/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Erlam</w:t>
      </w:r>
      <w:proofErr w:type="spellEnd"/>
      <w:r w:rsidRPr="00583A3B">
        <w:rPr>
          <w:rFonts w:ascii="Lato" w:eastAsia="Times New Roman" w:hAnsi="Lato" w:cs="Times New Roman"/>
          <w:color w:val="000000"/>
          <w:sz w:val="23"/>
          <w:szCs w:val="23"/>
          <w:lang w:eastAsia="fr-BE"/>
        </w:rPr>
        <w:t>, de OANDA.</w:t>
      </w:r>
    </w:p>
    <w:p w14:paraId="4DE10C2C" w14:textId="77777777" w:rsidR="00E12968" w:rsidRDefault="00E12968"/>
    <w:sectPr w:rsidR="00E12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3B"/>
    <w:rsid w:val="00583A3B"/>
    <w:rsid w:val="00E1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FD0B"/>
  <w15:chartTrackingRefBased/>
  <w15:docId w15:val="{2C6CC672-D055-43A2-9F8A-45853476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8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2022-08-15T13:29:00Z</dcterms:created>
  <dcterms:modified xsi:type="dcterms:W3CDTF">2022-08-15T13:29:00Z</dcterms:modified>
</cp:coreProperties>
</file>